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ZAŁĄCZNIK NR 3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heading=h.uv7aj223mjw0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REGULAMIN OCENY WNIOSKÓW FUNDUSZU INTERWENCYJNO-KRYZYSOWEGO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heading=h.54lfb6ykmlsa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 DZIAŁANIA WOLONTARIACKIE W POZNANIU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284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GRUPA EKSPERTÓW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Oceny merytorycznej wniosków dokonują Eksperci powołani przez Operatora, którzy będą oceniać Wnioski zgodnie z niniejszym Regulaminem Oceny Wniosków.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Eksperci oceniają Wnioski na podstawie jednakowych kryteriów oceny zawartych w Karcie Oceny Merytorycznej.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Wśród Ekspertów mogą być osoby będące współpracownikami Operatora lub inne osoby mające kwalifikacje i doświadczenie pozwalające na właściwą ocenę Wniosków.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gronie Ekspertów będzie także jednego przedstawiciela Miasta Poznania.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Eksperci nie mogą być związani z Wnioskodawcami stosunkiem osobistym lub służbowym takiego rodzaju, który mógłby wywołać wątpliwości co do bezstronności przeprowadzanych czynności.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Eksperci są zobowiązani do podpisania deklaracji bezstronności, niezależności i poufności.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Eksperci uczestniczący w konsultacjach na etapie przygotowania Wniosków nie dokonują oceny Wniosku tego samego Wnioskodawcy.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Eksperci zobowiązują się do dokonania oceny osobiście, profesjonalnie, z należytą starannością na podstawie treści zawartych w Regulaminie Konkursu oraz ogłoszeniu o konkursie.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284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OCENA FORMALNA WNIOSKÓW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Ocena formalna Wniosków odbywa się w ciągu 3 dni roboczych od wpłynięcia wniosku na dofinansowanie.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Ocena formalna Wniosków odbywa się na podstawie kryteriów określonych w Karcie Oceny Formalnej stanowiącej załącznik do Regulaminu Konkursu.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oceny merytorycznej trafiają wnioski wyłącznie z pozytywna oceną formalną.</w:t>
      </w:r>
    </w:p>
    <w:p w:rsidR="00000000" w:rsidDel="00000000" w:rsidP="00000000" w:rsidRDefault="00000000" w:rsidRPr="00000000" w14:paraId="00000015">
      <w:pPr>
        <w:spacing w:line="259" w:lineRule="auto"/>
        <w:ind w:left="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284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OCENA MERYTORYCZNA WNIOSKÓW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Ocena merytoryczna Wniosków odbywa się na podstawie kryteriów przedstawionych w Karcie Oceny Merytorycznej stanowiącej załącznik do regulaminu Konkursu.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Każdy Wniosek oceniany jest przez  przynajmniej 2 Ekspertów, w tym obligatoryjnie  przynajmniej jednego przedstawiciela Miasta Poznania.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bookmarkStart w:colFirst="0" w:colLast="0" w:name="_heading=h.30j0zll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Eksperci dokonują indywidualnej oceny punktowej oraz zamieszczają uzasadnienie w przypadku odjęcia punktów w poszczególnych kryteriach.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Ocenę końcową Wniosku stanowi średnia ze wszystkich  przynajmniej dwóch ocen Ekspertów.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Ekspert może rekomendować przyznanie Mikrodotacji w pełnej lub niepełnej kwocie wnioskowanej przez Wnioskodawcę.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ma prawo zmienić kwotę dofinansowania zarekomendowaną przez Ekspertów.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Karty Oceny Merytorycznej bez danych Eksperta mogą zostać udostępnione na wniosek Wnioskodawcy.</w:t>
      </w:r>
    </w:p>
    <w:p w:rsidR="00000000" w:rsidDel="00000000" w:rsidP="00000000" w:rsidRDefault="00000000" w:rsidRPr="00000000" w14:paraId="0000001E">
      <w:pPr>
        <w:spacing w:line="259" w:lineRule="auto"/>
        <w:ind w:left="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284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WYNIKI OCENY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na podstawie ocen Ekspertów przedstawi Listę Wniosków rekomendowanych do dofinansowania.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Liście Wniosków znajdują się wnioski ocenione formalnie i merytorycznie.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uwzględniając oceny Ekspertów decyduje o dofinansowaniu.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 ma możliwości odwołania się od ocen merytorycznych przyznanych przez Ekspertów.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59" w:lineRule="auto"/>
        <w:ind w:left="70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Lista Wniosków rekomendowanych do dofinansowania zawierać będzie następujące informacje: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59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 oferty,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59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nazwa Wnioskodawcy,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59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Projektu,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160" w:line="259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kwota przyznanego dofinansowania.</w:t>
      </w:r>
    </w:p>
    <w:p w:rsidR="00000000" w:rsidDel="00000000" w:rsidP="00000000" w:rsidRDefault="00000000" w:rsidRPr="00000000" w14:paraId="00000029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Niniejszy Regulamin oceny wniosków funduszy interwencyjno-kryzysowego jest załącznikiem do Regulaminu Konkursu.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Poppins" w:cs="Poppins" w:eastAsia="Poppins" w:hAnsi="Poppins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352" w:left="1134" w:right="1134" w:header="107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left" w:leader="none" w:pos="450"/>
        <w:tab w:val="center" w:leader="none" w:pos="4819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-531011</wp:posOffset>
          </wp:positionH>
          <wp:positionV relativeFrom="paragraph">
            <wp:posOffset>-234857</wp:posOffset>
          </wp:positionV>
          <wp:extent cx="7181850" cy="714375"/>
          <wp:effectExtent b="0" l="0" r="0" t="0"/>
          <wp:wrapNone/>
          <wp:docPr id="16808753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left" w:leader="none" w:pos="3600"/>
      </w:tabs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538135"/>
        <w:sz w:val="14"/>
        <w:szCs w:val="14"/>
        <w:rtl w:val="0"/>
      </w:rPr>
      <w:t xml:space="preserve"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-499103</wp:posOffset>
          </wp:positionV>
          <wp:extent cx="2910840" cy="714698"/>
          <wp:effectExtent b="0" l="0" r="0" t="0"/>
          <wp:wrapNone/>
          <wp:docPr id="168087536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0840" cy="7146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1" w:customStyle="1">
    <w:name w:val="Normalny1"/>
    <w:rsid w:val="007C54D3"/>
  </w:style>
  <w:style w:type="table" w:styleId="TableNormal" w:customStyle="1">
    <w:name w:val="Table Normal"/>
    <w:rsid w:val="007C54D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2" w:customStyle="1">
    <w:name w:val="Normalny2"/>
    <w:rsid w:val="007C54D3"/>
  </w:style>
  <w:style w:type="table" w:styleId="TableNormal0" w:customStyle="1">
    <w:name w:val="Table Normal"/>
    <w:rsid w:val="007C54D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3" w:customStyle="1">
    <w:name w:val="Normalny3"/>
    <w:rsid w:val="007C54D3"/>
  </w:style>
  <w:style w:type="table" w:styleId="TableNormal1" w:customStyle="1">
    <w:name w:val="Table Normal"/>
    <w:rsid w:val="007C54D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rsid w:val="0036398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sid w:val="00363986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36398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sid w:val="00363986"/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wydruk" w:customStyle="1">
    <w:name w:val="wydruk"/>
    <w:rsid w:val="00363986"/>
  </w:style>
  <w:style w:type="paragraph" w:styleId="04xlpa" w:customStyle="1">
    <w:name w:val="_04xlpa"/>
    <w:basedOn w:val="Normalny"/>
    <w:rsid w:val="00363986"/>
    <w:pPr>
      <w:suppressAutoHyphens w:val="0"/>
      <w:spacing w:after="100" w:afterAutospacing="1" w:before="100" w:beforeAutospacing="1"/>
    </w:pPr>
    <w:rPr>
      <w:lang w:eastAsia="pl-PL"/>
    </w:rPr>
  </w:style>
  <w:style w:type="character" w:styleId="jsgrdq" w:customStyle="1">
    <w:name w:val="jsgrdq"/>
    <w:rsid w:val="00363986"/>
  </w:style>
  <w:style w:type="character" w:styleId="Nagwek1Znak" w:customStyle="1">
    <w:name w:val="Nagłówek 1 Znak"/>
    <w:basedOn w:val="Domylnaczcionkaakapitu"/>
    <w:link w:val="Nagwek1"/>
    <w:uiPriority w:val="9"/>
    <w:rsid w:val="00363986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zh-CN"/>
    </w:rPr>
  </w:style>
  <w:style w:type="character" w:styleId="Nagwek2Znak" w:customStyle="1">
    <w:name w:val="Nagłówek 2 Znak"/>
    <w:basedOn w:val="Domylnaczcionkaakapitu"/>
    <w:link w:val="Nagwek2"/>
    <w:uiPriority w:val="9"/>
    <w:rsid w:val="00363986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zh-CN"/>
    </w:rPr>
  </w:style>
  <w:style w:type="character" w:styleId="Nagwek3Znak" w:customStyle="1">
    <w:name w:val="Nagłówek 3 Znak"/>
    <w:basedOn w:val="Domylnaczcionkaakapitu"/>
    <w:link w:val="Nagwek3"/>
    <w:uiPriority w:val="9"/>
    <w:rsid w:val="00363986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zh-CN"/>
    </w:rPr>
  </w:style>
  <w:style w:type="character" w:styleId="Nagwek4Znak" w:customStyle="1">
    <w:name w:val="Nagłówek 4 Znak"/>
    <w:basedOn w:val="Domylnaczcionkaakapitu"/>
    <w:link w:val="Nagwek4"/>
    <w:uiPriority w:val="9"/>
    <w:rsid w:val="00363986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 w:val="1"/>
    <w:rsid w:val="002277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206AE4"/>
    <w:pPr>
      <w:suppressAutoHyphens w:val="0"/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06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06AE4"/>
    <w:pPr>
      <w:suppressAutoHyphens w:val="0"/>
    </w:pPr>
    <w:rPr>
      <w:rFonts w:ascii="Arial" w:cs="Arial" w:eastAsia="Arial" w:hAnsi="Arial"/>
      <w:sz w:val="20"/>
      <w:szCs w:val="20"/>
      <w:lang w:eastAsia="pl-P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06AE4"/>
    <w:rPr>
      <w:rFonts w:ascii="Arial" w:cs="Arial" w:eastAsia="Arial" w:hAnsi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06AE4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06AE4"/>
    <w:rPr>
      <w:rFonts w:ascii="Segoe UI" w:cs="Segoe UI" w:eastAsia="Times New Roman" w:hAnsi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8661D0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alnyWeb">
    <w:name w:val="Normal (Web)"/>
    <w:basedOn w:val="Normalny"/>
    <w:uiPriority w:val="99"/>
    <w:semiHidden w:val="1"/>
    <w:unhideWhenUsed w:val="1"/>
    <w:rsid w:val="00145378"/>
    <w:pPr>
      <w:suppressAutoHyphens w:val="0"/>
      <w:spacing w:after="100" w:afterAutospacing="1" w:before="100" w:beforeAutospacing="1"/>
    </w:pPr>
    <w:rPr>
      <w:lang w:eastAsia="pl-P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e4SA4F4rFoz0hL0mcJvYQdWYfA==">CgMxLjAyDmgudXY3YWoyMjNtancwMg5oLjU0bGZiNnlrbWxzYTIIaC5namRneHMyCWguMzBqMHpsbDgAciExWFNEeDNYSWFqcExxbkl4TEdwa25VYnBlZlVUWjcyN2M=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2024-04-08T10:30:00Z</dcterms:created>
  <dc:creator>Joanna Bauerfeind</dc:creator>
</cp:coreProperties>
</file>